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0DF" w:rsidRDefault="006260DF" w:rsidP="006260DF">
      <w:pPr>
        <w:spacing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</w:rPr>
        <w:t>PRO</w:t>
      </w:r>
      <w:r>
        <w:rPr>
          <w:rFonts w:cstheme="minorHAnsi"/>
          <w:b/>
          <w:bCs/>
          <w:color w:val="000000" w:themeColor="text1"/>
        </w:rPr>
        <w:t xml:space="preserve">JETO DE LEI Nº </w:t>
      </w:r>
    </w:p>
    <w:p w:rsidR="006260DF" w:rsidRDefault="006260DF" w:rsidP="006260DF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</w:rPr>
      </w:pPr>
    </w:p>
    <w:p w:rsidR="006260DF" w:rsidRDefault="006260DF" w:rsidP="006260DF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INSTITUI O PROGRAMA MUNICIPAL DE DIVULGAÇÃO, PREVENÇÃO E TRATAMENTO DO CERATOCONE.</w:t>
      </w:r>
    </w:p>
    <w:p w:rsidR="006260DF" w:rsidRDefault="006260DF" w:rsidP="006260DF">
      <w:pPr>
        <w:spacing w:line="240" w:lineRule="auto"/>
        <w:ind w:left="1701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Povo do Município de Varginha, Estado de Minas Gerais, por seus representantes na Câmara Municipal,</w:t>
      </w:r>
    </w:p>
    <w:p w:rsidR="006260DF" w:rsidRDefault="006260DF" w:rsidP="006260DF">
      <w:pPr>
        <w:spacing w:line="240" w:lineRule="auto"/>
        <w:ind w:left="1701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260DF" w:rsidRDefault="006260DF" w:rsidP="006260DF">
      <w:pPr>
        <w:spacing w:line="240" w:lineRule="auto"/>
        <w:ind w:left="1701" w:hanging="28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APROVA:</w:t>
      </w:r>
    </w:p>
    <w:p w:rsidR="006260DF" w:rsidRDefault="006260DF" w:rsidP="006260DF">
      <w:pPr>
        <w:spacing w:line="240" w:lineRule="auto"/>
        <w:ind w:left="1701"/>
        <w:jc w:val="both"/>
        <w:rPr>
          <w:rFonts w:cstheme="minorHAnsi"/>
          <w:b/>
          <w:bCs/>
          <w:color w:val="000000" w:themeColor="text1"/>
        </w:rPr>
      </w:pP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>Art. 1º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 xml:space="preserve">Fica instituído na cidade de Varginha o “Programa Municipal de divulgação, prevenção e tratamento do Ceratocone. </w:t>
      </w:r>
    </w:p>
    <w:p w:rsidR="006260DF" w:rsidRDefault="006260DF" w:rsidP="006260DF">
      <w:pPr>
        <w:spacing w:after="0"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 xml:space="preserve">§1º- </w:t>
      </w:r>
      <w:r>
        <w:rPr>
          <w:rFonts w:cstheme="minorHAnsi"/>
          <w:color w:val="000000" w:themeColor="text1"/>
          <w:shd w:val="clear" w:color="auto" w:fill="FFFFFF"/>
        </w:rPr>
        <w:t>O programa de que trata o “caput” tem por objetivo:</w:t>
      </w:r>
    </w:p>
    <w:p w:rsidR="006260DF" w:rsidRDefault="006260DF" w:rsidP="006260DF">
      <w:pPr>
        <w:spacing w:after="0"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a)</w:t>
      </w:r>
      <w:r>
        <w:rPr>
          <w:rFonts w:cstheme="minorHAnsi"/>
          <w:color w:val="000000" w:themeColor="text1"/>
          <w:shd w:val="clear" w:color="auto" w:fill="FFFFFF"/>
        </w:rPr>
        <w:t xml:space="preserve"> Informar os cidadãos sobre as principais causas e sintomas da doença;</w:t>
      </w:r>
    </w:p>
    <w:p w:rsidR="006260DF" w:rsidRDefault="006260DF" w:rsidP="006260DF">
      <w:pPr>
        <w:spacing w:after="0" w:line="240" w:lineRule="auto"/>
        <w:ind w:left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>b)</w:t>
      </w:r>
      <w:r>
        <w:rPr>
          <w:rFonts w:cstheme="minorHAnsi"/>
          <w:color w:val="000000" w:themeColor="text1"/>
        </w:rPr>
        <w:t xml:space="preserve"> prover e capacitar profissionais da área da saúde;</w:t>
      </w:r>
    </w:p>
    <w:p w:rsidR="006260DF" w:rsidRDefault="006260DF" w:rsidP="006260DF">
      <w:pPr>
        <w:spacing w:after="0" w:line="240" w:lineRule="auto"/>
        <w:ind w:left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c)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</w:rPr>
        <w:t xml:space="preserve">realizar exames laboratoriais e de imagem, em número correspondente à demanda, necessários ao diagnóstico preciso do ceratocone, em especial o de </w:t>
      </w:r>
      <w:proofErr w:type="spellStart"/>
      <w:r>
        <w:rPr>
          <w:rFonts w:cstheme="minorHAnsi"/>
          <w:color w:val="000000" w:themeColor="text1"/>
        </w:rPr>
        <w:t>vídeoceratoscopia</w:t>
      </w:r>
      <w:proofErr w:type="spellEnd"/>
      <w:r>
        <w:rPr>
          <w:rFonts w:cstheme="minorHAnsi"/>
          <w:color w:val="000000" w:themeColor="text1"/>
        </w:rPr>
        <w:t xml:space="preserve"> da córnea, através do Sistema Único de Saúde - SUS;</w:t>
      </w:r>
    </w:p>
    <w:p w:rsidR="006260DF" w:rsidRDefault="006260DF" w:rsidP="006260DF">
      <w:pPr>
        <w:pStyle w:val="PargrafodaLista"/>
        <w:numPr>
          <w:ilvl w:val="0"/>
          <w:numId w:val="1"/>
        </w:numPr>
        <w:spacing w:after="0" w:line="240" w:lineRule="auto"/>
        <w:ind w:hanging="219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 xml:space="preserve"> intensificar a realização de cirurgias de transplante de córnea pelo SUS.</w:t>
      </w:r>
    </w:p>
    <w:p w:rsidR="006260DF" w:rsidRDefault="006260DF" w:rsidP="006260DF">
      <w:pPr>
        <w:pStyle w:val="PargrafodaLista"/>
        <w:spacing w:after="0" w:line="240" w:lineRule="auto"/>
        <w:ind w:left="1778"/>
        <w:jc w:val="both"/>
        <w:rPr>
          <w:rFonts w:cstheme="minorHAnsi"/>
          <w:color w:val="000000" w:themeColor="text1"/>
          <w:shd w:val="clear" w:color="auto" w:fill="FFFFFF"/>
        </w:rPr>
      </w:pP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>§2º</w:t>
      </w:r>
      <w:r>
        <w:rPr>
          <w:rFonts w:cstheme="minorHAnsi"/>
          <w:color w:val="000000" w:themeColor="text1"/>
          <w:shd w:val="clear" w:color="auto" w:fill="FFFFFF"/>
        </w:rPr>
        <w:t xml:space="preserve"> - </w:t>
      </w:r>
      <w:r>
        <w:rPr>
          <w:rFonts w:cstheme="minorHAnsi"/>
          <w:color w:val="000000" w:themeColor="text1"/>
        </w:rPr>
        <w:t xml:space="preserve">Entende-se por ceratocone, para os fins desta lei, a ectasia </w:t>
      </w:r>
      <w:proofErr w:type="spellStart"/>
      <w:r>
        <w:rPr>
          <w:rFonts w:cstheme="minorHAnsi"/>
          <w:color w:val="000000" w:themeColor="text1"/>
        </w:rPr>
        <w:t>corneana</w:t>
      </w:r>
      <w:proofErr w:type="spellEnd"/>
      <w:r>
        <w:rPr>
          <w:rFonts w:cstheme="minorHAnsi"/>
          <w:color w:val="000000" w:themeColor="text1"/>
        </w:rPr>
        <w:t xml:space="preserve"> não inflamatória, caracterizada por um afinamento progressivo da porção central da córnea, dando-lhe um formato mais cônico que a sua curvatura normal, e provocando distorção substancial da visão.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 xml:space="preserve">Art. 2º- </w:t>
      </w:r>
      <w:r>
        <w:rPr>
          <w:rFonts w:cstheme="minorHAnsi"/>
          <w:color w:val="000000" w:themeColor="text1"/>
          <w:shd w:val="clear" w:color="auto" w:fill="FFFFFF"/>
        </w:rPr>
        <w:t>O programa de que trata esta Lei desenvolverá ações e projetos para atingir os seus fins, dentre os quais:</w:t>
      </w:r>
    </w:p>
    <w:p w:rsidR="006260DF" w:rsidRDefault="006260DF" w:rsidP="006260DF">
      <w:pPr>
        <w:pStyle w:val="PargrafodaLista"/>
        <w:numPr>
          <w:ilvl w:val="0"/>
          <w:numId w:val="2"/>
        </w:numPr>
        <w:spacing w:line="240" w:lineRule="auto"/>
        <w:ind w:left="1560" w:hanging="142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campanha informativa, da qual constem:</w:t>
      </w:r>
    </w:p>
    <w:p w:rsidR="006260DF" w:rsidRDefault="006260DF" w:rsidP="006260DF">
      <w:pPr>
        <w:pStyle w:val="PargrafodaLista"/>
        <w:spacing w:line="240" w:lineRule="auto"/>
        <w:ind w:left="141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a)</w:t>
      </w:r>
      <w:r>
        <w:rPr>
          <w:rFonts w:cstheme="minorHAnsi"/>
          <w:color w:val="000000" w:themeColor="text1"/>
        </w:rPr>
        <w:t xml:space="preserve"> os sintomas da doença;</w:t>
      </w:r>
    </w:p>
    <w:p w:rsidR="006260DF" w:rsidRDefault="006260DF" w:rsidP="006260DF">
      <w:pPr>
        <w:pStyle w:val="PargrafodaLista"/>
        <w:spacing w:line="240" w:lineRule="auto"/>
        <w:ind w:left="141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b)</w:t>
      </w:r>
      <w:r>
        <w:rPr>
          <w:rFonts w:cstheme="minorHAnsi"/>
          <w:color w:val="000000" w:themeColor="text1"/>
        </w:rPr>
        <w:t xml:space="preserve"> as faixas etárias de maior incidência;</w:t>
      </w:r>
    </w:p>
    <w:p w:rsidR="006260DF" w:rsidRDefault="006260DF" w:rsidP="006260DF">
      <w:pPr>
        <w:pStyle w:val="PargrafodaLista"/>
        <w:spacing w:line="240" w:lineRule="auto"/>
        <w:ind w:left="141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c)</w:t>
      </w:r>
      <w:r>
        <w:rPr>
          <w:rFonts w:cstheme="minorHAnsi"/>
          <w:color w:val="000000" w:themeColor="text1"/>
        </w:rPr>
        <w:t xml:space="preserve"> os cuidados básicos com higiene, especialmente com relação à criança e portadores de Síndrome de Down; 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 xml:space="preserve">II-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divulgação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das informações previstas no inciso anterior através de: </w:t>
      </w:r>
    </w:p>
    <w:p w:rsidR="006260DF" w:rsidRDefault="006260DF" w:rsidP="006260DF">
      <w:pPr>
        <w:pStyle w:val="PargrafodaLista"/>
        <w:spacing w:line="240" w:lineRule="auto"/>
        <w:ind w:left="141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a)</w:t>
      </w:r>
      <w:r>
        <w:rPr>
          <w:rFonts w:cstheme="minorHAnsi"/>
          <w:color w:val="000000" w:themeColor="text1"/>
        </w:rPr>
        <w:t xml:space="preserve"> inserções nas mídias de grande veiculação;</w:t>
      </w:r>
    </w:p>
    <w:p w:rsidR="006260DF" w:rsidRDefault="006260DF" w:rsidP="006260DF">
      <w:pPr>
        <w:pStyle w:val="PargrafodaLista"/>
        <w:spacing w:line="240" w:lineRule="auto"/>
        <w:ind w:left="141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b)</w:t>
      </w:r>
      <w:r>
        <w:rPr>
          <w:rFonts w:cstheme="minorHAnsi"/>
          <w:color w:val="000000" w:themeColor="text1"/>
        </w:rPr>
        <w:t xml:space="preserve"> confecção de cartilhas explicativas e cartazes, a serem distribuídos e afixados em palestras e cursos de capacitação de profissionais da área da saúde;</w:t>
      </w:r>
    </w:p>
    <w:p w:rsidR="006260DF" w:rsidRDefault="006260DF" w:rsidP="006260DF">
      <w:pPr>
        <w:pStyle w:val="PargrafodaLista"/>
        <w:spacing w:line="240" w:lineRule="auto"/>
        <w:ind w:left="1418"/>
        <w:jc w:val="both"/>
        <w:rPr>
          <w:rFonts w:cstheme="minorHAnsi"/>
        </w:rPr>
      </w:pPr>
      <w:r>
        <w:rPr>
          <w:rFonts w:cstheme="minorHAnsi"/>
          <w:b/>
          <w:bCs/>
        </w:rPr>
        <w:t>c)-</w:t>
      </w:r>
      <w:r>
        <w:rPr>
          <w:rFonts w:cstheme="minorHAnsi"/>
        </w:rPr>
        <w:t xml:space="preserve"> elaboração de vídeos, demonstrando as terapias adequadas, a serem apresentas em palestras e cursos de capacitação de profissionais da área da saúde;</w:t>
      </w:r>
    </w:p>
    <w:p w:rsidR="006260DF" w:rsidRDefault="006260DF" w:rsidP="006260DF">
      <w:pPr>
        <w:pStyle w:val="PargrafodaLista"/>
        <w:spacing w:line="240" w:lineRule="auto"/>
        <w:ind w:left="1418" w:firstLine="1210"/>
        <w:jc w:val="both"/>
        <w:rPr>
          <w:rFonts w:cstheme="minorHAnsi"/>
        </w:rPr>
      </w:pPr>
    </w:p>
    <w:p w:rsidR="006260DF" w:rsidRDefault="006260DF" w:rsidP="006260DF">
      <w:pPr>
        <w:pStyle w:val="PargrafodaLista"/>
        <w:spacing w:line="240" w:lineRule="auto"/>
        <w:ind w:left="0" w:firstLine="1418"/>
        <w:jc w:val="both"/>
        <w:rPr>
          <w:rFonts w:cstheme="minorHAnsi"/>
        </w:rPr>
      </w:pPr>
      <w:r>
        <w:rPr>
          <w:rFonts w:cstheme="minorHAnsi"/>
          <w:b/>
          <w:bCs/>
        </w:rPr>
        <w:t>III-</w:t>
      </w:r>
      <w:r>
        <w:rPr>
          <w:rFonts w:cstheme="minorHAnsi"/>
        </w:rPr>
        <w:t xml:space="preserve"> promover ampla campanha de doação de órgãos, especialmente de córnea, com vistas a manter a captação em número adequado à demanda;</w:t>
      </w:r>
    </w:p>
    <w:p w:rsidR="006260DF" w:rsidRDefault="006260DF" w:rsidP="006260DF">
      <w:pPr>
        <w:pStyle w:val="PargrafodaLista"/>
        <w:spacing w:line="240" w:lineRule="auto"/>
        <w:ind w:left="0" w:firstLine="1418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IV-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patrocinar</w:t>
      </w:r>
      <w:proofErr w:type="gramEnd"/>
      <w:r>
        <w:rPr>
          <w:rFonts w:cstheme="minorHAnsi"/>
        </w:rPr>
        <w:t xml:space="preserve"> cursos de atualização e reciclagem sobre a doença, voltados aos profissionais da área da saúde, visando ao aperfeiçoamento e à atualização técnico-científicos;</w:t>
      </w:r>
    </w:p>
    <w:p w:rsidR="006260DF" w:rsidRDefault="006260DF" w:rsidP="006260DF">
      <w:pPr>
        <w:pStyle w:val="PargrafodaLista"/>
        <w:spacing w:line="240" w:lineRule="auto"/>
        <w:ind w:left="0" w:firstLine="1418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>V-</w:t>
      </w: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prover</w:t>
      </w:r>
      <w:proofErr w:type="gramEnd"/>
      <w:r>
        <w:rPr>
          <w:rFonts w:cstheme="minorHAnsi"/>
        </w:rPr>
        <w:t xml:space="preserve"> as unidades públicas de saúde de Varginha, profissionais capacitados para reconhecer os sintomas e tomar medidas pertinentes, além dos equipamentos necessários para a </w:t>
      </w:r>
      <w:r>
        <w:rPr>
          <w:rFonts w:cstheme="minorHAnsi"/>
          <w:color w:val="000000" w:themeColor="text1"/>
        </w:rPr>
        <w:t>realização de exames mais acurados.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Art.3º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O programa ficará sob a coordenação e a responsabilidade da Secretaria Municipal de Saúde, que definirá as competências em cada nível de atuação e firmará as parcerias necessárias à consecução dos objetivos desta lei.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</w:rPr>
      </w:pPr>
      <w:r>
        <w:rPr>
          <w:rFonts w:cstheme="minorHAnsi"/>
          <w:b/>
          <w:bCs/>
        </w:rPr>
        <w:t>Art.4º</w:t>
      </w:r>
      <w:r>
        <w:rPr>
          <w:rFonts w:cstheme="minorHAnsi"/>
        </w:rPr>
        <w:t xml:space="preserve"> O Poder Executivo regulamentará esta Lei no prazo de 60 (sessenta dias), contados a partir da data de sua publicação.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</w:rPr>
      </w:pPr>
      <w:r>
        <w:rPr>
          <w:rFonts w:cstheme="minorHAnsi"/>
          <w:b/>
          <w:bCs/>
        </w:rPr>
        <w:t>Art.5º</w:t>
      </w:r>
      <w:r>
        <w:rPr>
          <w:rFonts w:cstheme="minorHAnsi"/>
        </w:rPr>
        <w:t xml:space="preserve"> As despesas decorrentes da aplicação desta Lei correrão à conta de dotações orçamentárias próprias.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Sala das Sessões da Câmara Municipal de Varginha, 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em 03 de maio de 2023.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lang w:eastAsia="pt-BR"/>
        </w:rPr>
        <w:t>FERNANDO GUEDES OLIVEIRA</w:t>
      </w:r>
      <w:r>
        <w:rPr>
          <w:rFonts w:cstheme="minorHAnsi"/>
          <w:b/>
          <w:bCs/>
          <w:color w:val="000000"/>
          <w:lang w:eastAsia="pt-BR"/>
        </w:rPr>
        <w:t xml:space="preserve"> - Dr. Guedes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Vereador</w:t>
      </w: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JUSTIFICATIVA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Ceratocone (do Grego: </w:t>
      </w:r>
      <w:proofErr w:type="spellStart"/>
      <w:r>
        <w:rPr>
          <w:rFonts w:cstheme="minorHAnsi"/>
          <w:i/>
          <w:iCs/>
          <w:color w:val="000000"/>
        </w:rPr>
        <w:t>kerato</w:t>
      </w:r>
      <w:proofErr w:type="spellEnd"/>
      <w:r>
        <w:rPr>
          <w:rFonts w:cstheme="minorHAnsi"/>
          <w:color w:val="000000"/>
        </w:rPr>
        <w:t xml:space="preserve"> – chifre = córnea; e </w:t>
      </w:r>
      <w:proofErr w:type="spellStart"/>
      <w:r>
        <w:rPr>
          <w:rFonts w:cstheme="minorHAnsi"/>
          <w:i/>
          <w:iCs/>
          <w:color w:val="000000"/>
        </w:rPr>
        <w:t>konos</w:t>
      </w:r>
      <w:proofErr w:type="spellEnd"/>
      <w:r>
        <w:rPr>
          <w:rFonts w:cstheme="minorHAnsi"/>
          <w:color w:val="000000"/>
        </w:rPr>
        <w:t xml:space="preserve"> = cone) é a ectasia </w:t>
      </w:r>
      <w:proofErr w:type="spellStart"/>
      <w:r>
        <w:rPr>
          <w:rFonts w:cstheme="minorHAnsi"/>
          <w:color w:val="000000"/>
        </w:rPr>
        <w:t>corneana</w:t>
      </w:r>
      <w:proofErr w:type="spellEnd"/>
      <w:r>
        <w:rPr>
          <w:rFonts w:cstheme="minorHAnsi"/>
          <w:color w:val="000000"/>
        </w:rPr>
        <w:t xml:space="preserve"> não inflamatória, caracterizada por um afinamento progressivo da porção central da córnea, dando-lhe um formato mais cônico que a sua curvatura normal, o que provoca distorção substancial da visão e pode, nos casos mais severos, exigir um transplante de córnea para que o paciente volte a enxergar.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Nos estágios iniciais, os </w:t>
      </w:r>
      <w:hyperlink r:id="rId5" w:tooltip="Sintoma" w:history="1">
        <w:r>
          <w:rPr>
            <w:rStyle w:val="Hyperlink"/>
            <w:rFonts w:cstheme="minorHAnsi"/>
            <w:color w:val="000000"/>
          </w:rPr>
          <w:t>sintomas</w:t>
        </w:r>
      </w:hyperlink>
      <w:r>
        <w:rPr>
          <w:rFonts w:cstheme="minorHAnsi"/>
          <w:color w:val="000000"/>
        </w:rPr>
        <w:t xml:space="preserve"> do ceratocone podem ser os mesmos de qualquer outro </w:t>
      </w:r>
      <w:hyperlink r:id="rId6" w:tooltip="Defeito refrativo" w:history="1">
        <w:r>
          <w:rPr>
            <w:rStyle w:val="Hyperlink"/>
            <w:rFonts w:cstheme="minorHAnsi"/>
            <w:color w:val="000000"/>
          </w:rPr>
          <w:t>defeito refrativo</w:t>
        </w:r>
      </w:hyperlink>
      <w:r>
        <w:rPr>
          <w:rFonts w:cstheme="minorHAnsi"/>
          <w:color w:val="000000"/>
        </w:rPr>
        <w:t xml:space="preserve"> do olho, podendo ser corrigidos com óculos ou lentes de contato. Com a progressão da doença, a visão se deteriora, muitas vezes rapidamente, prejudicando a </w:t>
      </w:r>
      <w:hyperlink r:id="rId7" w:tooltip="Acuidade visual" w:history="1">
        <w:r>
          <w:rPr>
            <w:rStyle w:val="Hyperlink"/>
            <w:rFonts w:cstheme="minorHAnsi"/>
            <w:color w:val="000000"/>
          </w:rPr>
          <w:t>acuidade visual</w:t>
        </w:r>
      </w:hyperlink>
      <w:r>
        <w:rPr>
          <w:rFonts w:cstheme="minorHAnsi"/>
          <w:color w:val="000000"/>
        </w:rPr>
        <w:t xml:space="preserve"> em todas as distâncias e enfraquecendo a </w:t>
      </w:r>
      <w:hyperlink r:id="rId8" w:tooltip="Visão noturna" w:history="1">
        <w:r>
          <w:rPr>
            <w:rStyle w:val="Hyperlink"/>
            <w:rFonts w:cstheme="minorHAnsi"/>
            <w:color w:val="000000"/>
          </w:rPr>
          <w:t>visão noturna</w:t>
        </w:r>
      </w:hyperlink>
      <w:r>
        <w:rPr>
          <w:rFonts w:cstheme="minorHAnsi"/>
          <w:color w:val="000000"/>
        </w:rPr>
        <w:t xml:space="preserve">. Pode ocorrer em apenas um ou nos dois olhos e alguns paciente desenvolvem </w:t>
      </w:r>
      <w:hyperlink r:id="rId9" w:tooltip="Fotofobia" w:history="1">
        <w:r>
          <w:rPr>
            <w:rStyle w:val="Hyperlink"/>
            <w:rFonts w:cstheme="minorHAnsi"/>
            <w:color w:val="000000"/>
          </w:rPr>
          <w:t>fotofobia</w:t>
        </w:r>
      </w:hyperlink>
      <w:r>
        <w:rPr>
          <w:rFonts w:cstheme="minorHAnsi"/>
          <w:color w:val="000000"/>
        </w:rPr>
        <w:t xml:space="preserve"> (sensibilidade ao brilho da luz), diplopia (visão dupla), </w:t>
      </w:r>
      <w:proofErr w:type="spellStart"/>
      <w:r>
        <w:rPr>
          <w:rFonts w:cstheme="minorHAnsi"/>
          <w:color w:val="000000"/>
        </w:rPr>
        <w:t>poliopia</w:t>
      </w:r>
      <w:proofErr w:type="spellEnd"/>
      <w:r>
        <w:rPr>
          <w:rFonts w:cstheme="minorHAnsi"/>
          <w:color w:val="000000"/>
        </w:rPr>
        <w:t xml:space="preserve"> (visão de vários objetos) e </w:t>
      </w:r>
      <w:hyperlink r:id="rId10" w:tooltip="Astenopia" w:history="1">
        <w:r>
          <w:rPr>
            <w:rStyle w:val="Hyperlink"/>
            <w:rFonts w:cstheme="minorHAnsi"/>
            <w:color w:val="000000"/>
          </w:rPr>
          <w:t>astenopia</w:t>
        </w:r>
      </w:hyperlink>
      <w:r>
        <w:rPr>
          <w:rFonts w:cstheme="minorHAnsi"/>
          <w:color w:val="000000"/>
        </w:rPr>
        <w:t xml:space="preserve"> por forçar os olhos durante a leitura. Podem, ainda, apresentar </w:t>
      </w:r>
      <w:hyperlink r:id="rId11" w:tooltip="Coceira" w:history="1">
        <w:r>
          <w:rPr>
            <w:rStyle w:val="Hyperlink"/>
            <w:rFonts w:cstheme="minorHAnsi"/>
            <w:color w:val="000000"/>
          </w:rPr>
          <w:t>coceira</w:t>
        </w:r>
      </w:hyperlink>
      <w:r>
        <w:rPr>
          <w:rFonts w:cstheme="minorHAnsi"/>
          <w:color w:val="000000"/>
        </w:rPr>
        <w:t xml:space="preserve">, sendo que o ato de coçar os olhos vigorosamente pode contribuir para a progressão da doença. 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 doença geralmente manifesta-se no início da puberdade, sendo diagnosticada como astigmatismo leve. O diagnóstico do ceratocone dar-se-á no final da adolescência ou início da segunda década de vida. São raros os casos que ocorrem na infância ou se apresentam apenas ao final da vida adulta. 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 gene responsável pelo ceratocone ainda não foi identificado, mas estudos genéticos concordam com um modelo autossomo dominante hereditário. A doença tem sido diagnosticada mais frequentemente em portadores de síndrome de Down, embora as razões para esta ligação ainda não tenham sido determinadas. </w:t>
      </w:r>
    </w:p>
    <w:p w:rsidR="006260DF" w:rsidRDefault="006260DF" w:rsidP="006260DF">
      <w:pPr>
        <w:spacing w:line="240" w:lineRule="auto"/>
        <w:ind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 tratamento da doença, com o objetivo de proporcionar boa visão e, principalmente, preservar a saúde da córnea, garantindo ao paciente uma existência produtiva, utiliza, nesta ordem, os seguintes recursos: óculos, lentes de contato, lentes de contato especiais e cirurgias. A visão do paciente sofre variações por vários meses, necessitando de trocas contínuas das lentes dos óculos e, conforme a doença progride, torna-se necessário o uso de lentes de contato. Cerca de 90% dos pacientes utilizam lentes de contato e apenas 10% chegam a necessitar de transplante de córnea. De maneira geral, o ceratocone progride por um período de </w:t>
      </w:r>
      <w:smartTag w:uri="urn:schemas-microsoft-com:office:smarttags" w:element="metricconverter">
        <w:smartTagPr>
          <w:attr w:name="ProductID" w:val="10 a"/>
        </w:smartTagPr>
        <w:r>
          <w:rPr>
            <w:rFonts w:cstheme="minorHAnsi"/>
            <w:color w:val="000000"/>
          </w:rPr>
          <w:t>10 a</w:t>
        </w:r>
      </w:smartTag>
      <w:r>
        <w:rPr>
          <w:rFonts w:cstheme="minorHAnsi"/>
          <w:color w:val="000000"/>
        </w:rPr>
        <w:t xml:space="preserve"> 20 anos, até que seu curso cesse.</w:t>
      </w:r>
    </w:p>
    <w:p w:rsidR="006260DF" w:rsidRDefault="006260DF" w:rsidP="006260DF">
      <w:pPr>
        <w:spacing w:line="360" w:lineRule="auto"/>
        <w:ind w:right="-315"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Conforme mostra a incidência do ceratocone e sua faixa etária: 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after="0" w:line="240" w:lineRule="auto"/>
        <w:ind w:left="2137" w:right="-318" w:hanging="35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08 a 16 anos: 2,1 %;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after="0" w:line="240" w:lineRule="auto"/>
        <w:ind w:left="2137" w:right="-318" w:hanging="35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17 a 27 anos: 25,9 %;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after="0" w:line="240" w:lineRule="auto"/>
        <w:ind w:left="2137" w:right="-318" w:hanging="35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27 a 36 anos: 35,6 %;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after="0" w:line="240" w:lineRule="auto"/>
        <w:ind w:left="2137" w:right="-318" w:hanging="35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37 a 46 anos: 20,1 %;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after="0" w:line="240" w:lineRule="auto"/>
        <w:ind w:left="2137" w:right="-318" w:hanging="35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47 a 56 anos: 11,7 %;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after="0" w:line="240" w:lineRule="auto"/>
        <w:ind w:left="2137" w:right="-318" w:hanging="35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57 a 66 anos: 3,0 %;</w:t>
      </w:r>
    </w:p>
    <w:p w:rsidR="006260DF" w:rsidRDefault="006260DF" w:rsidP="006260DF">
      <w:pPr>
        <w:pStyle w:val="PargrafodaLista"/>
        <w:numPr>
          <w:ilvl w:val="0"/>
          <w:numId w:val="3"/>
        </w:numPr>
        <w:spacing w:line="360" w:lineRule="auto"/>
        <w:ind w:right="-31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67 a 76 anos: 1,5 %;</w:t>
      </w:r>
    </w:p>
    <w:p w:rsidR="006260DF" w:rsidRDefault="006260DF" w:rsidP="006260DF">
      <w:pPr>
        <w:spacing w:after="0" w:line="240" w:lineRule="auto"/>
        <w:ind w:right="-318" w:firstLine="2268"/>
        <w:jc w:val="both"/>
        <w:rPr>
          <w:rFonts w:cstheme="minorHAnsi"/>
          <w:color w:val="000000"/>
        </w:rPr>
      </w:pPr>
    </w:p>
    <w:p w:rsidR="006260DF" w:rsidRDefault="006260DF" w:rsidP="006260DF">
      <w:pPr>
        <w:spacing w:after="0" w:line="240" w:lineRule="auto"/>
        <w:ind w:right="-318" w:firstLine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Trata-se de uma importante campanha para aqueles cidadãos que precisam da cirurgia para poder enxergar e voltar a ter uma vida plena e produtiva. É necessário, todavia, que o Município, através da Secretaria Municipal de Saúde, mantenha o esforço, ampliando as parcerias necessárias e conscientizando a população da importância da doação de órgãos, bem como </w:t>
      </w:r>
      <w:r>
        <w:rPr>
          <w:rFonts w:cstheme="minorHAnsi"/>
          <w:color w:val="000000"/>
        </w:rPr>
        <w:lastRenderedPageBreak/>
        <w:t>executar ações preventivas, para que o paciente acometido de ceratocone não venha a necessitar de intervenção dessa natureza.</w:t>
      </w:r>
    </w:p>
    <w:p w:rsidR="006260DF" w:rsidRDefault="006260DF" w:rsidP="006260DF">
      <w:pPr>
        <w:spacing w:after="0" w:line="240" w:lineRule="auto"/>
        <w:ind w:right="-318" w:firstLine="1418"/>
        <w:jc w:val="both"/>
        <w:rPr>
          <w:rFonts w:cstheme="minorHAnsi"/>
          <w:color w:val="000000"/>
        </w:rPr>
      </w:pPr>
    </w:p>
    <w:p w:rsidR="006260DF" w:rsidRDefault="006260DF" w:rsidP="006260DF">
      <w:pPr>
        <w:spacing w:after="0" w:line="240" w:lineRule="auto"/>
        <w:ind w:right="-318" w:firstLine="1418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 Por todo o exposto, espera o autor a tramitação regimental e apoio dos nobres colegas na aprovação do Projeto de Lei, que atende aos pressupostos de constitucionalidade, juridicidade e técnica legislativa.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Sala das Sessões da Câmara Municipal de Varginha, 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em 03 de maio de 2023.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</w:p>
    <w:p w:rsidR="006260DF" w:rsidRDefault="006260DF" w:rsidP="00626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lang w:eastAsia="pt-BR"/>
        </w:rPr>
        <w:t>FERNANDO GUEDES OLIVEIRA</w:t>
      </w:r>
      <w:r>
        <w:rPr>
          <w:rFonts w:cstheme="minorHAnsi"/>
          <w:b/>
          <w:bCs/>
          <w:color w:val="000000"/>
          <w:lang w:eastAsia="pt-BR"/>
        </w:rPr>
        <w:t xml:space="preserve"> - Dr. Guedes</w:t>
      </w:r>
    </w:p>
    <w:p w:rsidR="006260DF" w:rsidRDefault="006260DF" w:rsidP="006260D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Vereador</w:t>
      </w:r>
    </w:p>
    <w:p w:rsidR="006260DF" w:rsidRDefault="006260DF" w:rsidP="006260DF">
      <w:pPr>
        <w:spacing w:line="240" w:lineRule="auto"/>
        <w:ind w:firstLine="1418"/>
        <w:rPr>
          <w:rFonts w:cstheme="minorHAnsi"/>
        </w:rPr>
      </w:pPr>
    </w:p>
    <w:p w:rsidR="008C6B6F" w:rsidRDefault="008C6B6F"/>
    <w:sectPr w:rsidR="008C6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222"/>
    <w:multiLevelType w:val="hybridMultilevel"/>
    <w:tmpl w:val="11F8B444"/>
    <w:lvl w:ilvl="0" w:tplc="10EC6A32">
      <w:start w:val="4"/>
      <w:numFmt w:val="lowerLetter"/>
      <w:lvlText w:val="%1)"/>
      <w:lvlJc w:val="left"/>
      <w:pPr>
        <w:ind w:left="1637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>
      <w:start w:val="1"/>
      <w:numFmt w:val="lowerRoman"/>
      <w:lvlText w:val="%3."/>
      <w:lvlJc w:val="right"/>
      <w:pPr>
        <w:ind w:left="3077" w:hanging="180"/>
      </w:pPr>
    </w:lvl>
    <w:lvl w:ilvl="3" w:tplc="0416000F">
      <w:start w:val="1"/>
      <w:numFmt w:val="decimal"/>
      <w:lvlText w:val="%4."/>
      <w:lvlJc w:val="left"/>
      <w:pPr>
        <w:ind w:left="3797" w:hanging="360"/>
      </w:pPr>
    </w:lvl>
    <w:lvl w:ilvl="4" w:tplc="04160019">
      <w:start w:val="1"/>
      <w:numFmt w:val="lowerLetter"/>
      <w:lvlText w:val="%5."/>
      <w:lvlJc w:val="left"/>
      <w:pPr>
        <w:ind w:left="4517" w:hanging="360"/>
      </w:pPr>
    </w:lvl>
    <w:lvl w:ilvl="5" w:tplc="0416001B">
      <w:start w:val="1"/>
      <w:numFmt w:val="lowerRoman"/>
      <w:lvlText w:val="%6."/>
      <w:lvlJc w:val="right"/>
      <w:pPr>
        <w:ind w:left="5237" w:hanging="180"/>
      </w:pPr>
    </w:lvl>
    <w:lvl w:ilvl="6" w:tplc="0416000F">
      <w:start w:val="1"/>
      <w:numFmt w:val="decimal"/>
      <w:lvlText w:val="%7."/>
      <w:lvlJc w:val="left"/>
      <w:pPr>
        <w:ind w:left="5957" w:hanging="360"/>
      </w:pPr>
    </w:lvl>
    <w:lvl w:ilvl="7" w:tplc="04160019">
      <w:start w:val="1"/>
      <w:numFmt w:val="lowerLetter"/>
      <w:lvlText w:val="%8."/>
      <w:lvlJc w:val="left"/>
      <w:pPr>
        <w:ind w:left="6677" w:hanging="360"/>
      </w:pPr>
    </w:lvl>
    <w:lvl w:ilvl="8" w:tplc="0416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7184357"/>
    <w:multiLevelType w:val="hybridMultilevel"/>
    <w:tmpl w:val="D466C910"/>
    <w:lvl w:ilvl="0" w:tplc="0F0819BC">
      <w:start w:val="1"/>
      <w:numFmt w:val="upperRoman"/>
      <w:lvlText w:val="%1-"/>
      <w:lvlJc w:val="left"/>
      <w:pPr>
        <w:ind w:left="3578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3938" w:hanging="360"/>
      </w:pPr>
    </w:lvl>
    <w:lvl w:ilvl="2" w:tplc="0416001B">
      <w:start w:val="1"/>
      <w:numFmt w:val="lowerRoman"/>
      <w:lvlText w:val="%3."/>
      <w:lvlJc w:val="right"/>
      <w:pPr>
        <w:ind w:left="4658" w:hanging="180"/>
      </w:pPr>
    </w:lvl>
    <w:lvl w:ilvl="3" w:tplc="0416000F">
      <w:start w:val="1"/>
      <w:numFmt w:val="decimal"/>
      <w:lvlText w:val="%4."/>
      <w:lvlJc w:val="left"/>
      <w:pPr>
        <w:ind w:left="5378" w:hanging="360"/>
      </w:pPr>
    </w:lvl>
    <w:lvl w:ilvl="4" w:tplc="04160019">
      <w:start w:val="1"/>
      <w:numFmt w:val="lowerLetter"/>
      <w:lvlText w:val="%5."/>
      <w:lvlJc w:val="left"/>
      <w:pPr>
        <w:ind w:left="6098" w:hanging="360"/>
      </w:pPr>
    </w:lvl>
    <w:lvl w:ilvl="5" w:tplc="0416001B">
      <w:start w:val="1"/>
      <w:numFmt w:val="lowerRoman"/>
      <w:lvlText w:val="%6."/>
      <w:lvlJc w:val="right"/>
      <w:pPr>
        <w:ind w:left="6818" w:hanging="180"/>
      </w:pPr>
    </w:lvl>
    <w:lvl w:ilvl="6" w:tplc="0416000F">
      <w:start w:val="1"/>
      <w:numFmt w:val="decimal"/>
      <w:lvlText w:val="%7."/>
      <w:lvlJc w:val="left"/>
      <w:pPr>
        <w:ind w:left="7538" w:hanging="360"/>
      </w:pPr>
    </w:lvl>
    <w:lvl w:ilvl="7" w:tplc="04160019">
      <w:start w:val="1"/>
      <w:numFmt w:val="lowerLetter"/>
      <w:lvlText w:val="%8."/>
      <w:lvlJc w:val="left"/>
      <w:pPr>
        <w:ind w:left="8258" w:hanging="360"/>
      </w:pPr>
    </w:lvl>
    <w:lvl w:ilvl="8" w:tplc="0416001B">
      <w:start w:val="1"/>
      <w:numFmt w:val="lowerRoman"/>
      <w:lvlText w:val="%9."/>
      <w:lvlJc w:val="right"/>
      <w:pPr>
        <w:ind w:left="8978" w:hanging="180"/>
      </w:pPr>
    </w:lvl>
  </w:abstractNum>
  <w:abstractNum w:abstractNumId="2" w15:restartNumberingAfterBreak="0">
    <w:nsid w:val="6CF6652F"/>
    <w:multiLevelType w:val="hybridMultilevel"/>
    <w:tmpl w:val="218426B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9382935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720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58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F"/>
    <w:rsid w:val="006260DF"/>
    <w:rsid w:val="008C6B6F"/>
    <w:rsid w:val="00ED28D4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980B-A8F8-4585-B249-34964D1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DF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60D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2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Vis%C3%A3o_notur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Acuidade_visu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Defeito_refrativo" TargetMode="External"/><Relationship Id="rId11" Type="http://schemas.openxmlformats.org/officeDocument/2006/relationships/hyperlink" Target="http://pt.wikipedia.org/wiki/Coceira" TargetMode="External"/><Relationship Id="rId5" Type="http://schemas.openxmlformats.org/officeDocument/2006/relationships/hyperlink" Target="http://pt.wikipedia.org/wiki/Sintoma" TargetMode="External"/><Relationship Id="rId10" Type="http://schemas.openxmlformats.org/officeDocument/2006/relationships/hyperlink" Target="http://pt.wikipedia.org/wiki/Astenop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Fotofob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2</cp:revision>
  <cp:lastPrinted>2023-05-02T18:02:00Z</cp:lastPrinted>
  <dcterms:created xsi:type="dcterms:W3CDTF">2023-05-02T18:03:00Z</dcterms:created>
  <dcterms:modified xsi:type="dcterms:W3CDTF">2023-05-02T18:03:00Z</dcterms:modified>
</cp:coreProperties>
</file>